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rPr>
      </w:pPr>
      <w:r>
        <w:rPr>
          <w:rFonts w:hint="eastAsia" w:ascii="宋体" w:hAnsi="宋体"/>
          <w:b/>
          <w:sz w:val="24"/>
        </w:rPr>
        <w:t>上海银行股份有限公司</w:t>
      </w:r>
    </w:p>
    <w:p>
      <w:pPr>
        <w:jc w:val="center"/>
        <w:rPr>
          <w:rFonts w:hint="eastAsia" w:ascii="宋体" w:hAnsi="宋体"/>
          <w:b/>
          <w:sz w:val="24"/>
        </w:rPr>
      </w:pPr>
      <w:r>
        <w:rPr>
          <w:rFonts w:hint="eastAsia" w:ascii="宋体" w:hAnsi="宋体"/>
          <w:b/>
          <w:sz w:val="24"/>
        </w:rPr>
        <w:t>202</w:t>
      </w:r>
      <w:r>
        <w:rPr>
          <w:rFonts w:hint="eastAsia" w:ascii="宋体" w:hAnsi="宋体"/>
          <w:b/>
          <w:sz w:val="24"/>
          <w:lang w:val="en-US" w:eastAsia="zh-CN"/>
        </w:rPr>
        <w:t>2</w:t>
      </w:r>
      <w:r>
        <w:rPr>
          <w:rFonts w:hint="eastAsia" w:ascii="宋体" w:hAnsi="宋体"/>
          <w:b/>
          <w:sz w:val="24"/>
        </w:rPr>
        <w:t>年上半年杠杆率情况表</w:t>
      </w:r>
    </w:p>
    <w:p>
      <w:pPr>
        <w:rPr>
          <w:rFonts w:hint="eastAsia"/>
        </w:rPr>
      </w:pPr>
    </w:p>
    <w:p>
      <w:pPr>
        <w:spacing w:line="240" w:lineRule="atLeast"/>
        <w:rPr>
          <w:rFonts w:hint="eastAsia" w:eastAsia="华文楷体"/>
          <w:b/>
          <w:sz w:val="24"/>
          <w:szCs w:val="24"/>
        </w:rPr>
      </w:pPr>
      <w:r>
        <w:rPr>
          <w:rFonts w:hint="eastAsia" w:eastAsia="华文楷体"/>
          <w:b/>
          <w:sz w:val="24"/>
          <w:szCs w:val="24"/>
        </w:rPr>
        <w:t>表1：杠杆率监管项目以及对应会计项目情况表</w:t>
      </w:r>
    </w:p>
    <w:p>
      <w:pPr>
        <w:widowControl/>
        <w:spacing w:line="240" w:lineRule="atLeast"/>
        <w:jc w:val="left"/>
        <w:rPr>
          <w:rFonts w:ascii="华文楷体" w:hAnsi="华文楷体" w:eastAsia="华文楷体" w:cs="宋体"/>
          <w:color w:val="000000"/>
          <w:kern w:val="0"/>
          <w:szCs w:val="23"/>
        </w:rPr>
      </w:pPr>
      <w:r>
        <w:rPr>
          <w:rFonts w:hint="eastAsia" w:ascii="华文楷体" w:hAnsi="华文楷体" w:eastAsia="华文楷体" w:cs="宋体"/>
          <w:color w:val="000000"/>
          <w:kern w:val="0"/>
          <w:szCs w:val="23"/>
        </w:rPr>
        <w:t>单位：百万元（人民币）</w:t>
      </w:r>
    </w:p>
    <w:tbl>
      <w:tblPr>
        <w:tblStyle w:val="2"/>
        <w:tblW w:w="4999" w:type="pct"/>
        <w:tblInd w:w="0" w:type="dxa"/>
        <w:tblLayout w:type="autofit"/>
        <w:tblCellMar>
          <w:top w:w="0" w:type="dxa"/>
          <w:left w:w="108" w:type="dxa"/>
          <w:bottom w:w="0" w:type="dxa"/>
          <w:right w:w="108" w:type="dxa"/>
        </w:tblCellMar>
      </w:tblPr>
      <w:tblGrid>
        <w:gridCol w:w="840"/>
        <w:gridCol w:w="5827"/>
        <w:gridCol w:w="1853"/>
      </w:tblGrid>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楷体" w:hAnsi="华文楷体" w:eastAsia="华文楷体" w:cs="宋体"/>
                <w:b/>
                <w:bCs/>
                <w:color w:val="000000"/>
                <w:kern w:val="0"/>
                <w:sz w:val="20"/>
                <w:szCs w:val="20"/>
              </w:rPr>
            </w:pPr>
            <w:r>
              <w:rPr>
                <w:rFonts w:hint="eastAsia" w:ascii="华文楷体" w:hAnsi="华文楷体" w:eastAsia="华文楷体" w:cs="宋体"/>
                <w:b/>
                <w:bCs/>
                <w:color w:val="000000"/>
                <w:kern w:val="0"/>
                <w:sz w:val="20"/>
                <w:szCs w:val="20"/>
              </w:rPr>
              <w:t>序号</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楷体" w:hAnsi="华文楷体" w:eastAsia="华文楷体" w:cs="宋体"/>
                <w:b/>
                <w:bCs/>
                <w:color w:val="000000"/>
                <w:kern w:val="0"/>
                <w:sz w:val="20"/>
                <w:szCs w:val="20"/>
              </w:rPr>
            </w:pPr>
            <w:r>
              <w:rPr>
                <w:rFonts w:hint="eastAsia" w:ascii="华文楷体" w:hAnsi="华文楷体" w:eastAsia="华文楷体" w:cs="宋体"/>
                <w:b/>
                <w:bCs/>
                <w:color w:val="000000"/>
                <w:kern w:val="0"/>
                <w:sz w:val="20"/>
                <w:szCs w:val="20"/>
              </w:rPr>
              <w:t>项目</w:t>
            </w:r>
          </w:p>
        </w:tc>
        <w:tc>
          <w:tcPr>
            <w:tcW w:w="1087"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b/>
                <w:bCs/>
              </w:rPr>
            </w:pPr>
            <w:r>
              <w:rPr>
                <w:rFonts w:hint="eastAsia" w:ascii="华文楷体" w:hAnsi="华文楷体" w:eastAsia="华文楷体" w:cs="宋体"/>
                <w:b/>
                <w:bCs/>
                <w:color w:val="000000"/>
                <w:kern w:val="0"/>
                <w:sz w:val="20"/>
                <w:szCs w:val="20"/>
              </w:rPr>
              <w:t>余额</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并表总资产</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2,814,653 </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并表调整项</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0 </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客户资产调整项</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0 </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衍生产品调整项</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-5,735 </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证券融资交易调整项</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9,658 </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表外项目调整项</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476,927 </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其他调整项</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-4,776 </w:t>
            </w:r>
          </w:p>
        </w:tc>
      </w:tr>
      <w:tr>
        <w:tblPrEx>
          <w:tblCellMar>
            <w:top w:w="0" w:type="dxa"/>
            <w:left w:w="108" w:type="dxa"/>
            <w:bottom w:w="0" w:type="dxa"/>
            <w:right w:w="108" w:type="dxa"/>
          </w:tblCellMar>
        </w:tblPrEx>
        <w:trPr>
          <w:trHeight w:val="345" w:hRule="atLeast"/>
        </w:trPr>
        <w:tc>
          <w:tcPr>
            <w:tcW w:w="493"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w:t>
            </w:r>
          </w:p>
        </w:tc>
        <w:tc>
          <w:tcPr>
            <w:tcW w:w="341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调整后的表内外资产余额</w:t>
            </w:r>
          </w:p>
        </w:tc>
        <w:tc>
          <w:tcPr>
            <w:tcW w:w="1853" w:type="dxa"/>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3,290,727 </w:t>
            </w:r>
          </w:p>
        </w:tc>
      </w:tr>
    </w:tbl>
    <w:p>
      <w:pPr>
        <w:spacing w:line="240" w:lineRule="atLeast"/>
        <w:rPr>
          <w:rFonts w:hint="eastAsia" w:eastAsia="华文楷体"/>
          <w:b/>
          <w:sz w:val="24"/>
          <w:szCs w:val="24"/>
        </w:rPr>
      </w:pPr>
      <w:r>
        <w:rPr>
          <w:rFonts w:hint="eastAsia" w:eastAsia="华文楷体"/>
          <w:b/>
          <w:sz w:val="24"/>
          <w:szCs w:val="24"/>
        </w:rPr>
        <w:br w:type="page"/>
      </w:r>
    </w:p>
    <w:p>
      <w:pPr>
        <w:spacing w:line="240" w:lineRule="atLeast"/>
        <w:rPr>
          <w:rFonts w:hint="eastAsia" w:eastAsia="华文楷体"/>
          <w:b/>
          <w:sz w:val="24"/>
          <w:szCs w:val="24"/>
        </w:rPr>
      </w:pPr>
      <w:r>
        <w:rPr>
          <w:rFonts w:hint="eastAsia" w:eastAsia="华文楷体"/>
          <w:b/>
          <w:sz w:val="24"/>
          <w:szCs w:val="24"/>
        </w:rPr>
        <w:t>表2：杠杆率相关明细数据表</w:t>
      </w:r>
    </w:p>
    <w:p>
      <w:pPr>
        <w:spacing w:line="240" w:lineRule="atLeast"/>
        <w:rPr>
          <w:rFonts w:hint="eastAsia" w:eastAsia="华文楷体"/>
        </w:rPr>
      </w:pPr>
      <w:r>
        <w:rPr>
          <w:rFonts w:hint="eastAsia" w:ascii="华文楷体" w:hAnsi="华文楷体" w:eastAsia="华文楷体" w:cs="宋体"/>
          <w:color w:val="000000"/>
          <w:kern w:val="0"/>
          <w:szCs w:val="23"/>
        </w:rPr>
        <w:t>单位：百万元（人民币）</w:t>
      </w:r>
    </w:p>
    <w:tbl>
      <w:tblPr>
        <w:tblStyle w:val="2"/>
        <w:tblW w:w="4998" w:type="pct"/>
        <w:tblInd w:w="0" w:type="dxa"/>
        <w:tblLayout w:type="autofit"/>
        <w:tblCellMar>
          <w:top w:w="0" w:type="dxa"/>
          <w:left w:w="108" w:type="dxa"/>
          <w:bottom w:w="0" w:type="dxa"/>
          <w:right w:w="108" w:type="dxa"/>
        </w:tblCellMar>
      </w:tblPr>
      <w:tblGrid>
        <w:gridCol w:w="663"/>
        <w:gridCol w:w="6554"/>
        <w:gridCol w:w="1302"/>
      </w:tblGrid>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序号</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项目</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rPr>
            </w:pPr>
            <w:r>
              <w:rPr>
                <w:rFonts w:hint="eastAsia" w:ascii="华文楷体" w:hAnsi="华文楷体" w:eastAsia="华文楷体" w:cs="宋体"/>
                <w:color w:val="000000"/>
                <w:kern w:val="0"/>
                <w:sz w:val="20"/>
                <w:szCs w:val="20"/>
              </w:rPr>
              <w:t>余额</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w:t>
            </w:r>
          </w:p>
        </w:tc>
        <w:tc>
          <w:tcPr>
            <w:tcW w:w="3846" w:type="pc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表内资产（除衍生产品和证券融资交易外）</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2,776,992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w:t>
            </w:r>
          </w:p>
        </w:tc>
        <w:tc>
          <w:tcPr>
            <w:tcW w:w="3846" w:type="pct"/>
            <w:tcBorders>
              <w:top w:val="single" w:color="000000" w:sz="4" w:space="0"/>
              <w:left w:val="single" w:color="000000" w:sz="4" w:space="0"/>
              <w:bottom w:val="single" w:color="000000" w:sz="4" w:space="0"/>
              <w:right w:val="single" w:color="000000" w:sz="4" w:space="0"/>
            </w:tcBorders>
            <w:noWrap/>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减：一级资本扣减项</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-4,776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3</w:t>
            </w:r>
          </w:p>
        </w:tc>
        <w:tc>
          <w:tcPr>
            <w:tcW w:w="384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调整后的表内资产余额（衍生产品和证券融资交易除外）</w:t>
            </w:r>
          </w:p>
        </w:tc>
        <w:tc>
          <w:tcPr>
            <w:tcW w:w="764" w:type="pct"/>
            <w:tcBorders>
              <w:top w:val="single" w:color="000000" w:sz="4" w:space="0"/>
              <w:left w:val="single" w:color="000000" w:sz="4" w:space="0"/>
              <w:bottom w:val="single" w:color="000000" w:sz="4" w:space="0"/>
              <w:right w:val="single" w:color="000000" w:sz="4" w:space="0"/>
            </w:tcBorders>
            <w:shd w:val="clear" w:color="auto" w:fill="DBDBDB"/>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2,772,216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4</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各类衍生产品的重置成本（扣除合格保证金）</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3,073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5</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各类衍生产品的潜在风险暴露</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2,515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6</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已从资产负债表中扣除的抵质押品总和</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0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7</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减：因提供合格保证金形成的应收资产</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-137 </w:t>
            </w:r>
          </w:p>
        </w:tc>
      </w:tr>
      <w:tr>
        <w:tblPrEx>
          <w:tblCellMar>
            <w:top w:w="0" w:type="dxa"/>
            <w:left w:w="108" w:type="dxa"/>
            <w:bottom w:w="0" w:type="dxa"/>
            <w:right w:w="108" w:type="dxa"/>
          </w:tblCellMar>
        </w:tblPrEx>
        <w:trPr>
          <w:trHeight w:val="343"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8</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减：为客户提供清算服务时与中央交易对手交易形成的衍生产品资产余额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0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9</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卖出信用衍生产品的名义本金</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202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10</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减：可扣除的卖出信用衍生产品资产余额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0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11</w:t>
            </w:r>
          </w:p>
        </w:tc>
        <w:tc>
          <w:tcPr>
            <w:tcW w:w="384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衍生产品资产余额</w:t>
            </w:r>
          </w:p>
        </w:tc>
        <w:tc>
          <w:tcPr>
            <w:tcW w:w="764" w:type="pct"/>
            <w:tcBorders>
              <w:top w:val="single" w:color="000000" w:sz="4" w:space="0"/>
              <w:left w:val="single" w:color="000000" w:sz="4" w:space="0"/>
              <w:bottom w:val="single" w:color="000000" w:sz="4" w:space="0"/>
              <w:right w:val="single" w:color="000000" w:sz="4" w:space="0"/>
            </w:tcBorders>
            <w:shd w:val="clear" w:color="auto" w:fill="DBDBDB"/>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5,654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12</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证券融资交易的会计资产余额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26,272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13</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减：可以扣除的证券融资交易资产余额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0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14</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证券融资交易的交易对手信用风险暴露</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9,658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15</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代理证券融资交易形成的证券融资交易资产余额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0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16</w:t>
            </w:r>
          </w:p>
        </w:tc>
        <w:tc>
          <w:tcPr>
            <w:tcW w:w="384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证券融资交易资产余额</w:t>
            </w:r>
          </w:p>
        </w:tc>
        <w:tc>
          <w:tcPr>
            <w:tcW w:w="764" w:type="pct"/>
            <w:tcBorders>
              <w:top w:val="single" w:color="000000" w:sz="4" w:space="0"/>
              <w:left w:val="single" w:color="000000" w:sz="4" w:space="0"/>
              <w:bottom w:val="single" w:color="000000" w:sz="4" w:space="0"/>
              <w:right w:val="single" w:color="000000" w:sz="4" w:space="0"/>
            </w:tcBorders>
            <w:shd w:val="clear" w:color="auto" w:fill="DBDBDB"/>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35,930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17</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表外项目余额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1,011,764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18</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减：因信用转换减少的表外项目余额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-534,837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19</w:t>
            </w:r>
          </w:p>
        </w:tc>
        <w:tc>
          <w:tcPr>
            <w:tcW w:w="384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调整后的表外项目余额</w:t>
            </w:r>
          </w:p>
        </w:tc>
        <w:tc>
          <w:tcPr>
            <w:tcW w:w="764" w:type="pct"/>
            <w:tcBorders>
              <w:top w:val="single" w:color="000000" w:sz="4" w:space="0"/>
              <w:left w:val="single" w:color="000000" w:sz="4" w:space="0"/>
              <w:bottom w:val="single" w:color="000000" w:sz="4" w:space="0"/>
              <w:right w:val="single" w:color="000000" w:sz="4" w:space="0"/>
            </w:tcBorders>
            <w:shd w:val="clear" w:color="auto" w:fill="DBDBDB"/>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476,927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20</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一级资本净额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 xml:space="preserve">203,064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21</w:t>
            </w:r>
          </w:p>
        </w:tc>
        <w:tc>
          <w:tcPr>
            <w:tcW w:w="3846" w:type="pct"/>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调整后的表内外资产余额</w:t>
            </w:r>
          </w:p>
        </w:tc>
        <w:tc>
          <w:tcPr>
            <w:tcW w:w="764" w:type="pct"/>
            <w:tcBorders>
              <w:top w:val="single" w:color="000000" w:sz="4" w:space="0"/>
              <w:left w:val="single" w:color="000000" w:sz="4" w:space="0"/>
              <w:bottom w:val="single" w:color="000000" w:sz="4" w:space="0"/>
              <w:right w:val="single" w:color="000000" w:sz="4" w:space="0"/>
            </w:tcBorders>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3,290,</w:t>
            </w:r>
            <w:r>
              <w:rPr>
                <w:rFonts w:hint="eastAsia" w:cs="Times New Roman"/>
                <w:color w:val="000000"/>
                <w:kern w:val="0"/>
                <w:sz w:val="20"/>
                <w:szCs w:val="20"/>
                <w:lang w:val="en-US" w:eastAsia="zh-CN"/>
              </w:rPr>
              <w:t>727</w:t>
            </w:r>
            <w:r>
              <w:rPr>
                <w:rFonts w:hint="default" w:ascii="Times New Roman" w:hAnsi="Times New Roman" w:cs="Times New Roman"/>
                <w:color w:val="000000"/>
                <w:kern w:val="0"/>
                <w:sz w:val="20"/>
                <w:szCs w:val="20"/>
                <w:lang w:val="en-US" w:eastAsia="zh-CN"/>
              </w:rPr>
              <w:t xml:space="preserve"> </w:t>
            </w:r>
          </w:p>
        </w:tc>
      </w:tr>
      <w:tr>
        <w:tblPrEx>
          <w:tblCellMar>
            <w:top w:w="0" w:type="dxa"/>
            <w:left w:w="108" w:type="dxa"/>
            <w:bottom w:w="0" w:type="dxa"/>
            <w:right w:w="108" w:type="dxa"/>
          </w:tblCellMar>
        </w:tblPrEx>
        <w:trPr>
          <w:trHeight w:val="345" w:hRule="atLeast"/>
        </w:trPr>
        <w:tc>
          <w:tcPr>
            <w:tcW w:w="389"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22</w:t>
            </w:r>
          </w:p>
        </w:tc>
        <w:tc>
          <w:tcPr>
            <w:tcW w:w="3846" w:type="pc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jc w:val="left"/>
              <w:rPr>
                <w:rFonts w:hint="eastAsia" w:ascii="华文楷体" w:hAnsi="华文楷体" w:eastAsia="华文楷体" w:cs="宋体"/>
                <w:color w:val="000000"/>
                <w:kern w:val="0"/>
                <w:sz w:val="20"/>
                <w:szCs w:val="20"/>
              </w:rPr>
            </w:pPr>
            <w:r>
              <w:rPr>
                <w:rFonts w:hint="eastAsia" w:ascii="华文楷体" w:hAnsi="华文楷体" w:eastAsia="华文楷体" w:cs="宋体"/>
                <w:color w:val="000000"/>
                <w:kern w:val="0"/>
                <w:sz w:val="20"/>
                <w:szCs w:val="20"/>
              </w:rPr>
              <w:t>杠杆率</w:t>
            </w:r>
          </w:p>
        </w:tc>
        <w:tc>
          <w:tcPr>
            <w:tcW w:w="764" w:type="pct"/>
            <w:tcBorders>
              <w:top w:val="single" w:color="000000" w:sz="4" w:space="0"/>
              <w:left w:val="single" w:color="000000" w:sz="4" w:space="0"/>
              <w:bottom w:val="single" w:color="000000" w:sz="4" w:space="0"/>
              <w:right w:val="single" w:color="000000" w:sz="4" w:space="0"/>
            </w:tcBorders>
            <w:shd w:val="clear" w:color="auto" w:fill="DBDBDB"/>
            <w:noWrap w:val="0"/>
            <w:vAlign w:val="center"/>
          </w:tcPr>
          <w:p>
            <w:pPr>
              <w:widowControl/>
              <w:jc w:val="right"/>
              <w:rPr>
                <w:rFonts w:hint="default" w:ascii="Times New Roman" w:hAnsi="Times New Roman" w:cs="Times New Roman"/>
                <w:color w:val="000000"/>
                <w:kern w:val="0"/>
                <w:sz w:val="20"/>
                <w:szCs w:val="20"/>
                <w:lang w:val="en-US" w:eastAsia="zh-CN"/>
              </w:rPr>
            </w:pPr>
            <w:r>
              <w:rPr>
                <w:rFonts w:hint="default" w:ascii="Times New Roman" w:hAnsi="Times New Roman" w:cs="Times New Roman"/>
                <w:color w:val="000000"/>
                <w:kern w:val="0"/>
                <w:sz w:val="20"/>
                <w:szCs w:val="20"/>
                <w:lang w:val="en-US" w:eastAsia="zh-CN"/>
              </w:rPr>
              <w:t>6.17%</w:t>
            </w: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9A4F28"/>
    <w:rsid w:val="0C9A4F28"/>
    <w:rsid w:val="17E963BA"/>
    <w:rsid w:val="1B8D1EC1"/>
    <w:rsid w:val="73AC06BD"/>
    <w:rsid w:val="742375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2022-08-10T08:00:00Z</dcterms:created>
  <dc:creator>李函</dc:creator>
  <cp:lastModifiedBy>李函</cp:lastModifiedBy>
  <dcterms:modified xsi:type="dcterms:W3CDTF">2022-08-11T02:09:15Z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